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57" w:rsidRDefault="00962457">
      <w:pPr>
        <w:spacing w:after="0" w:line="265" w:lineRule="auto"/>
        <w:ind w:left="2390" w:hanging="10"/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962457" w:rsidRDefault="00962457">
      <w:pPr>
        <w:spacing w:after="3" w:line="260" w:lineRule="auto"/>
        <w:ind w:left="1452" w:right="60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«ОСНОВНАЯ ОБЩЕОБРАЗОВАТЕЛЬНАЯ ШКОЛА с. Девлат6и-Хутор» (МБЮУ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Девлатби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Отара </w:t>
      </w:r>
      <w:proofErr w:type="spellStart"/>
      <w:r>
        <w:rPr>
          <w:rFonts w:ascii="Times New Roman" w:eastAsia="Times New Roman" w:hAnsi="Times New Roman" w:cs="Times New Roman"/>
          <w:sz w:val="24"/>
        </w:rPr>
        <w:t>юьртара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КОШ»)</w:t>
      </w:r>
    </w:p>
    <w:p w:rsidR="00962457" w:rsidRDefault="00962457">
      <w:pPr>
        <w:spacing w:after="161"/>
        <w:ind w:left="115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532120" cy="24391"/>
                <wp:effectExtent l="0" t="0" r="0" b="0"/>
                <wp:docPr id="2217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24391"/>
                          <a:chOff x="0" y="0"/>
                          <a:chExt cx="5532120" cy="24391"/>
                        </a:xfrm>
                      </wpg:grpSpPr>
                      <wps:wsp>
                        <wps:cNvPr id="2216" name="Shape 2216"/>
                        <wps:cNvSpPr/>
                        <wps:spPr>
                          <a:xfrm>
                            <a:off x="0" y="0"/>
                            <a:ext cx="5532120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20" h="24391">
                                <a:moveTo>
                                  <a:pt x="0" y="12195"/>
                                </a:moveTo>
                                <a:lnTo>
                                  <a:pt x="5532120" y="12195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220AA" id="Group 2217" o:spid="_x0000_s1026" style="width:435.6pt;height:1.9pt;mso-position-horizontal-relative:char;mso-position-vertical-relative:line" coordsize="5532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">
                <v:shape id="Shape 2216" o:spid="_x0000_s1027" style="position:absolute;width:55321;height:243;visibility:visible;mso-wrap-style:square;v-text-anchor:top" coordsize="5532120,2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" path="m,12195r5532120,e" filled="f" strokeweight=".67753mm">
                  <v:stroke miterlimit="1" joinstyle="miter"/>
                  <v:path arrowok="t" textboxrect="0,0,5532120,24391"/>
                </v:shape>
                <w10:anchorlock/>
              </v:group>
            </w:pict>
          </mc:Fallback>
        </mc:AlternateContent>
      </w:r>
    </w:p>
    <w:p w:rsidR="00962457" w:rsidRDefault="00962457">
      <w:pPr>
        <w:spacing w:after="217"/>
        <w:ind w:left="1651"/>
      </w:pPr>
      <w:r>
        <w:rPr>
          <w:rFonts w:ascii="Times New Roman" w:eastAsia="Times New Roman" w:hAnsi="Times New Roman" w:cs="Times New Roman"/>
          <w:sz w:val="18"/>
        </w:rPr>
        <w:t>366242- ЧР, Ножай-</w:t>
      </w:r>
      <w:proofErr w:type="spellStart"/>
      <w:r>
        <w:rPr>
          <w:rFonts w:ascii="Times New Roman" w:eastAsia="Times New Roman" w:hAnsi="Times New Roman" w:cs="Times New Roman"/>
          <w:sz w:val="18"/>
        </w:rPr>
        <w:t>Юртовский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18"/>
        </w:rPr>
        <w:t>Девлатби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- -\VTOP, </w:t>
      </w:r>
      <w:proofErr w:type="spellStart"/>
      <w:r>
        <w:rPr>
          <w:rFonts w:ascii="Times New Roman" w:eastAsia="Times New Roman" w:hAnsi="Times New Roman" w:cs="Times New Roman"/>
          <w:sz w:val="18"/>
        </w:rPr>
        <w:t>ул.А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А.Кадырова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31, devlat095@mail.ru</w:t>
      </w:r>
    </w:p>
    <w:p w:rsidR="00962457" w:rsidRDefault="00962457">
      <w:pPr>
        <w:spacing w:after="692" w:line="265" w:lineRule="auto"/>
        <w:ind w:left="3807" w:hanging="10"/>
      </w:pPr>
      <w:r>
        <w:rPr>
          <w:rFonts w:ascii="Times New Roman" w:eastAsia="Times New Roman" w:hAnsi="Times New Roman" w:cs="Times New Roman"/>
          <w:sz w:val="24"/>
        </w:rPr>
        <w:t xml:space="preserve">МБОУ ”ООШ с.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Девлатби</w:t>
      </w:r>
      <w:proofErr w:type="spellEnd"/>
      <w:r>
        <w:rPr>
          <w:noProof/>
          <w:lang w:eastAsia="ru-RU"/>
        </w:rPr>
        <w:drawing>
          <wp:inline distT="0" distB="0" distL="0" distR="0">
            <wp:extent cx="478536" cy="137199"/>
            <wp:effectExtent l="0" t="0" r="0" b="0"/>
            <wp:docPr id="2212" name="Picture 2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" name="Picture 2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57" w:rsidRDefault="00962457">
      <w:pPr>
        <w:spacing w:after="286" w:line="265" w:lineRule="auto"/>
        <w:ind w:left="5727" w:right="9" w:hanging="10"/>
        <w:jc w:val="right"/>
      </w:pPr>
      <w:r>
        <w:rPr>
          <w:rFonts w:ascii="Times New Roman" w:eastAsia="Times New Roman" w:hAnsi="Times New Roman" w:cs="Times New Roman"/>
          <w:sz w:val="28"/>
        </w:rPr>
        <w:t>Утверждаю:</w:t>
      </w:r>
    </w:p>
    <w:p w:rsidR="00962457" w:rsidRDefault="00962457">
      <w:pPr>
        <w:spacing w:after="321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3630168</wp:posOffset>
            </wp:positionH>
            <wp:positionV relativeFrom="paragraph">
              <wp:posOffset>-570137</wp:posOffset>
            </wp:positionV>
            <wp:extent cx="1816608" cy="1594559"/>
            <wp:effectExtent l="0" t="0" r="0" b="0"/>
            <wp:wrapSquare wrapText="bothSides"/>
            <wp:docPr id="2214" name="Picture 2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" name="Picture 2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1594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АА;Махматханова</w:t>
      </w:r>
      <w:proofErr w:type="spellEnd"/>
      <w:proofErr w:type="gramEnd"/>
    </w:p>
    <w:p w:rsidR="00962457" w:rsidRDefault="00962457">
      <w:pPr>
        <w:spacing w:after="1921" w:line="265" w:lineRule="auto"/>
        <w:ind w:left="5727" w:right="9" w:hanging="10"/>
        <w:jc w:val="right"/>
      </w:pPr>
      <w:r>
        <w:rPr>
          <w:rFonts w:ascii="Times New Roman" w:eastAsia="Times New Roman" w:hAnsi="Times New Roman" w:cs="Times New Roman"/>
          <w:sz w:val="28"/>
        </w:rPr>
        <w:t>01.09.2023 г.</w:t>
      </w:r>
    </w:p>
    <w:p w:rsidR="00962457" w:rsidRDefault="00962457">
      <w:pPr>
        <w:spacing w:after="376"/>
        <w:ind w:left="3653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371856</wp:posOffset>
            </wp:positionH>
            <wp:positionV relativeFrom="page">
              <wp:posOffset>993931</wp:posOffset>
            </wp:positionV>
            <wp:extent cx="237744" cy="567090"/>
            <wp:effectExtent l="0" t="0" r="0" b="0"/>
            <wp:wrapSquare wrapText="bothSides"/>
            <wp:docPr id="1459" name="Picture 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5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374904</wp:posOffset>
            </wp:positionH>
            <wp:positionV relativeFrom="page">
              <wp:posOffset>9387468</wp:posOffset>
            </wp:positionV>
            <wp:extent cx="137160" cy="634164"/>
            <wp:effectExtent l="0" t="0" r="0" b="0"/>
            <wp:wrapSquare wrapText="bothSides"/>
            <wp:docPr id="1462" name="Picture 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Picture 14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63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4"/>
        </w:rPr>
        <w:t>Учебная программа</w:t>
      </w:r>
    </w:p>
    <w:p w:rsidR="00962457" w:rsidRDefault="00962457">
      <w:pPr>
        <w:pStyle w:val="1"/>
        <w:spacing w:after="3167"/>
        <w:ind w:left="854"/>
      </w:pPr>
      <w:r>
        <w:t>«Шашки»</w:t>
      </w:r>
    </w:p>
    <w:p w:rsidR="00962457" w:rsidRDefault="00962457">
      <w:pPr>
        <w:spacing w:after="30" w:line="239" w:lineRule="auto"/>
        <w:ind w:left="6744"/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Times New Roman" w:eastAsia="Times New Roman" w:hAnsi="Times New Roman" w:cs="Times New Roman"/>
          <w:sz w:val="28"/>
        </w:rPr>
        <w:tab/>
        <w:t>физической культуры</w:t>
      </w:r>
    </w:p>
    <w:p w:rsidR="00962457" w:rsidRDefault="00962457">
      <w:pPr>
        <w:tabs>
          <w:tab w:val="center" w:pos="7462"/>
          <w:tab w:val="center" w:pos="8585"/>
        </w:tabs>
        <w:spacing w:after="1566"/>
      </w:pPr>
      <w:r>
        <w:rPr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Элбиев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>
            <wp:extent cx="9144" cy="9147"/>
            <wp:effectExtent l="0" t="0" r="0" b="0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57" w:rsidRDefault="00962457" w:rsidP="006E5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</w:p>
    <w:p w:rsidR="00962457" w:rsidRDefault="00962457" w:rsidP="0028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962457" w:rsidRDefault="00962457" w:rsidP="0028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CD5AB1" w:rsidRPr="00CD5AB1" w:rsidRDefault="00CD5AB1" w:rsidP="00287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Пояснительная записка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и новизна программы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В современном обществе целью развития школьников является всестороннее гармоничное развитие личности. Современная концепция общего образования во главу ставит идею развития личности ребенка, формирования его творческих способностей, воспитания важных личностных качеств.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 в наше время предъявляет к ребенку массу серьезных требований. С первых же дней учебы он должен ответственно к ней относиться, подчиняться требованиям и правилам школьной жизни, должен обладать развитыми волевыми качествами. Произвольным, управляемым должно быть не только внешнее поведение, но и умственная деятельность ребенка – его внимание, память, мышление, логическое мышление. А это закладывается с детства и требует развития на протяжении всей школьной жизни.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- ведущий вид деятельности детей, в которой ребенок учится, развивается, растет. Тем ни менее, настольные игры уже давно уступили место компьютерным, за которыми дети готовы просиживать часами. Компьютер не заменит непосредственного живого общения. Дух партнёрства,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 шашки, развивают у детей мышление, память, внимание, творческое воображение, наблюдательность, строгую последовательность рассуждений. На протяжении обучения дети овладевают важными логическими операциями: анализом и синтезом, сравнением, обобщением, обоснованием выводов.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в шашки – очень мощный инструмент полноценного развития интеллекта ребенка в игровой форме. Для ребенка это не только игра, доставляющая много радости, но и эффективное средство самовоспитания. Обучение детей игры в шашки способствует умению ориентироваться на плоскости; развитию мышления, внимательности, усидчивости, собранности, самостоятельности, запоминанию; учит сравнивать, обобщать.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Шашки - замечательный повод для общения людей, способствующий углублению взаимопонимания, укреплению дружеских отношений. Шашечное творчество научит детей использовать свою смекалку и в других областях человеческой деятельности, научить думать.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Отличительной особенностью рабочей программы является большой акцент на начальную подготовку детей школьного возраста, начинающих с «нуля».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Программа занятий объединения по интересам «Шашки» предусматривает усвоение основ знаний по теории и практике игры в шашки, приближает начинающего шашиста к умению мысленно рассуждать, анализировать, строить на шашечной доске остроумные комбинации, предвидеть замыслы партнера. Шашечная игра дарят ребенку радость творчества и обогащают его духовный мир. Эти удивительные игры становятся средством воспитания и обучения, причем ненавязчивого, интересного, увлекательного.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Обучение по программе «Шашки» основано на принципах личностно - ориентированного образования детей и педагогики развития, в центре внимания которых – ребёнок, реализующий свои возможности. Поэтому программа учитывает возрастные и психофизические особенности ребёнка. Немаловажное значение в обучении игре в шашки отводится </w:t>
      </w: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принципу  адаптирующей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педагогики, обеспечивающей взаимодействие и сотрудничество семьи и педагогов.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  </w:t>
      </w:r>
      <w:proofErr w:type="spellStart"/>
      <w:proofErr w:type="gramStart"/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</w:t>
      </w:r>
      <w:proofErr w:type="spellEnd"/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условий для развития познавательных процессов и эмоционально-волевой сферы ребенка; формирование первоначальных знаний, умений и навыков шахматной игры и игры в шашки.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Для достижения цели были поставлены следующие задачи: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pacing w:val="-8"/>
          <w:sz w:val="14"/>
          <w:szCs w:val="14"/>
          <w:bdr w:val="none" w:sz="0" w:space="0" w:color="auto" w:frame="1"/>
          <w:lang w:eastAsia="ru-RU"/>
        </w:rPr>
        <w:t>                      </w:t>
      </w:r>
      <w:r w:rsidRPr="00CD5AB1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Обучение основам игры в шашки;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pacing w:val="-8"/>
          <w:sz w:val="14"/>
          <w:szCs w:val="14"/>
          <w:bdr w:val="none" w:sz="0" w:space="0" w:color="auto" w:frame="1"/>
          <w:lang w:eastAsia="ru-RU"/>
        </w:rPr>
        <w:t>                      </w:t>
      </w:r>
      <w:r w:rsidRPr="00CD5AB1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Обучение комбинациям, теории и практике игры в шашки.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pacing w:val="-8"/>
          <w:sz w:val="14"/>
          <w:szCs w:val="14"/>
          <w:bdr w:val="none" w:sz="0" w:space="0" w:color="auto" w:frame="1"/>
          <w:lang w:eastAsia="ru-RU"/>
        </w:rPr>
        <w:t>                      </w:t>
      </w:r>
      <w:r w:rsidRPr="00CD5AB1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pacing w:val="-2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D5AB1">
        <w:rPr>
          <w:rFonts w:ascii="Times New Roman" w:eastAsia="Times New Roman" w:hAnsi="Times New Roman" w:cs="Times New Roman"/>
          <w:spacing w:val="-12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</w:t>
      </w:r>
      <w:r w:rsidRPr="00CD5AB1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отношения к игре </w:t>
      </w:r>
      <w:proofErr w:type="gramStart"/>
      <w:r w:rsidRPr="00CD5AB1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  шашки</w:t>
      </w:r>
      <w:proofErr w:type="gramEnd"/>
      <w:r w:rsidRPr="00CD5AB1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к серьезным, полезным </w:t>
      </w:r>
      <w:r w:rsidRPr="00CD5AB1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нужным занятиям, имеющим спортивную и творческую направленность;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pacing w:val="-15"/>
          <w:sz w:val="14"/>
          <w:szCs w:val="14"/>
          <w:bdr w:val="none" w:sz="0" w:space="0" w:color="auto" w:frame="1"/>
          <w:lang w:eastAsia="ru-RU"/>
        </w:rPr>
        <w:t>                      </w:t>
      </w:r>
      <w:r w:rsidRPr="00CD5AB1">
        <w:rPr>
          <w:rFonts w:ascii="Times New Roman" w:eastAsia="Times New Roman" w:hAnsi="Times New Roman" w:cs="Times New Roman"/>
          <w:spacing w:val="-12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настойчивости, </w:t>
      </w:r>
      <w:r w:rsidRPr="00CD5AB1">
        <w:rPr>
          <w:rFonts w:ascii="Times New Roman" w:eastAsia="Times New Roman" w:hAnsi="Times New Roman" w:cs="Times New Roman"/>
          <w:spacing w:val="-1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целеустремленности, находчивости, внимательности, уверенности, воли, </w:t>
      </w:r>
      <w:r w:rsidRPr="00CD5AB1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трудолюбия, коллективизма;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выработка у обучающихся умения применять полученные знания на практике;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ситуации успеха для каждого ребёнка.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стремления детей к самостоятельности;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развитие </w:t>
      </w: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умственных способностей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обучающихся: логического мышления, умения производить расчеты на несколько ходов вперед, образное и аналитическое мышление;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осуществление  всестороннего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физического развития обучающихся;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и развитие коммуникативных способностей ребенка.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занятий предполагается развить следующие качества личности: целеустремленность, настойчивость, уверенность, умение логически мыслить, память, силу воли, радость творчества.</w:t>
      </w:r>
    </w:p>
    <w:p w:rsidR="00CD5AB1" w:rsidRPr="00CD5AB1" w:rsidRDefault="00CD5AB1" w:rsidP="005B520E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формирования первоначальных знаний, умений и </w:t>
      </w: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навыков  шашечной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игры, выбраны следующие принципы обучения: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67"/>
      </w:tblGrid>
      <w:tr w:rsidR="00CD5AB1" w:rsidRPr="00CD5AB1" w:rsidTr="00CD5AB1">
        <w:trPr>
          <w:trHeight w:val="1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22"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компоненты</w:t>
            </w:r>
          </w:p>
        </w:tc>
        <w:tc>
          <w:tcPr>
            <w:tcW w:w="6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Принципы обучения</w:t>
            </w:r>
          </w:p>
        </w:tc>
      </w:tr>
      <w:tr w:rsidR="00CD5AB1" w:rsidRPr="00CD5AB1" w:rsidTr="00CD5AB1">
        <w:trPr>
          <w:trHeight w:val="1"/>
          <w:jc w:val="center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обучения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 направленности обучения на решение во взаимосвязи задач образования и общего развития обучаемого.</w:t>
            </w:r>
          </w:p>
        </w:tc>
      </w:tr>
      <w:tr w:rsidR="00CD5AB1" w:rsidRPr="00CD5AB1" w:rsidTr="00CD5AB1">
        <w:trPr>
          <w:trHeight w:val="1"/>
          <w:jc w:val="center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обучения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 научности, систематичности и последовательности обучения.</w:t>
            </w:r>
          </w:p>
        </w:tc>
      </w:tr>
      <w:tr w:rsidR="00CD5AB1" w:rsidRPr="00CD5AB1" w:rsidTr="00CD5AB1">
        <w:trPr>
          <w:trHeight w:val="1"/>
          <w:jc w:val="center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Методы обучения и соответствующие</w:t>
            </w:r>
          </w:p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им средства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 наглядности обучения, сочетания различных методов, а также средств обучения в зависимости от задач и содержания обучения.</w:t>
            </w:r>
          </w:p>
        </w:tc>
      </w:tr>
      <w:tr w:rsidR="00CD5AB1" w:rsidRPr="00CD5AB1" w:rsidTr="00CD5AB1">
        <w:trPr>
          <w:trHeight w:val="1"/>
          <w:jc w:val="center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 организации</w:t>
            </w:r>
          </w:p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обучения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 сочетания различных форм обучения в зависимости от задач, содержания и методов обучения.</w:t>
            </w:r>
          </w:p>
        </w:tc>
      </w:tr>
      <w:tr w:rsidR="00CD5AB1" w:rsidRPr="00CD5AB1" w:rsidTr="00CD5AB1">
        <w:trPr>
          <w:trHeight w:val="1"/>
          <w:jc w:val="center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8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Условия для</w:t>
            </w:r>
          </w:p>
          <w:p w:rsidR="00CD5AB1" w:rsidRPr="00CD5AB1" w:rsidRDefault="00CD5AB1" w:rsidP="00CD5AB1">
            <w:pPr>
              <w:spacing w:after="0" w:line="240" w:lineRule="auto"/>
              <w:ind w:left="8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обучения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 создания необходимых условий для обучения.</w:t>
            </w:r>
          </w:p>
        </w:tc>
      </w:tr>
      <w:tr w:rsidR="00CD5AB1" w:rsidRPr="00CD5AB1" w:rsidTr="00CD5AB1">
        <w:trPr>
          <w:trHeight w:val="1"/>
          <w:jc w:val="center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Результаты обучения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5AB1" w:rsidRPr="00CD5AB1" w:rsidRDefault="00CD5AB1" w:rsidP="00CD5A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 прочности, осознанности и действенности результатов образования, воспитания и развития.</w:t>
            </w:r>
          </w:p>
        </w:tc>
      </w:tr>
    </w:tbl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проведения занятий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словесный: рассказ, беседа, объяснение;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наглядный: иллюстрация примерами, демонстрация позиций на доске;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практический: упражнение, тренинг, решение шашечных концовок, задач, этюдов, соревнования, работа над ошибками.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 занятий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определяется возрастными особенностями детей и подростков, а также содержанием разделов и тем изучаемого материала: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беседа с объяснением материала и показом позиций на доске;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игра;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тренировочные игры;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турниры.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Проверка результатов обучения осуществляется во время занятий посредством: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-наблюдения педагога за практической работой обучающихся;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-опросов по изучаемым темам;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-участие в соревнованиях различного уровня.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Режим занятий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- Общее количество часов в </w:t>
      </w: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год:  72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часа.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Количество занятий в неделю – 2 раза по 1 часу на 1 группу.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Периодичность занятий – еженедельно по 2 часа.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Отличительные особенности программы: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отборе содержания и видов деятельности детей в данной учитывались интересы и потребности самих детей, пожелания родителей, опыт внеурочной деятельности. Содержание программы внеурочной деятельности отражает динамику становления и развития </w:t>
      </w: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интересов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обучающихся от увлеченности до компетентного социального и профессионального самоопределения.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реализации программы: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программы рассчитано на 1 год. Возраст воспитанников 8-9 лет.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Учебный план</w:t>
      </w:r>
    </w:p>
    <w:tbl>
      <w:tblPr>
        <w:tblW w:w="9686" w:type="dxa"/>
        <w:tblInd w:w="-6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276"/>
        <w:gridCol w:w="1558"/>
        <w:gridCol w:w="1000"/>
        <w:gridCol w:w="1356"/>
      </w:tblGrid>
      <w:tr w:rsidR="00CD5AB1" w:rsidRPr="00CD5AB1" w:rsidTr="00CD5AB1">
        <w:trPr>
          <w:trHeight w:val="405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Наименование разделов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том числе</w:t>
            </w:r>
          </w:p>
        </w:tc>
      </w:tr>
      <w:tr w:rsidR="00CD5AB1" w:rsidRPr="00CD5AB1" w:rsidTr="00CD5AB1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Практика</w:t>
            </w:r>
          </w:p>
        </w:tc>
      </w:tr>
      <w:tr w:rsidR="00CD5AB1" w:rsidRPr="00CD5AB1" w:rsidTr="00CD5AB1">
        <w:trPr>
          <w:trHeight w:val="443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Вводное занятие. Техника безопасности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69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Общие положения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96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Правила соревнований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7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Основы шашечной теории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CD5AB1" w:rsidRPr="00CD5AB1" w:rsidTr="00CD5AB1">
        <w:trPr>
          <w:trHeight w:val="26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Тактика и техника шашечной игры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CD5AB1" w:rsidRPr="00CD5AB1" w:rsidTr="00CD5AB1">
        <w:trPr>
          <w:trHeight w:val="27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Важнейшие данные об игре в окончаниях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CD5AB1" w:rsidRPr="00CD5AB1" w:rsidTr="00CD5AB1">
        <w:trPr>
          <w:trHeight w:val="40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Начальные сведения об игре в международные шашки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CD5AB1" w:rsidRPr="00CD5AB1" w:rsidTr="00CD5AB1">
        <w:trPr>
          <w:trHeight w:val="48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Шашечная композиция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CD5AB1" w:rsidRPr="00CD5AB1" w:rsidTr="00CD5AB1">
        <w:trPr>
          <w:trHeight w:val="867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Практическая игра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CD5AB1" w:rsidRPr="00CD5AB1" w:rsidTr="00CD5AB1">
        <w:trPr>
          <w:trHeight w:val="867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Квалификационные турниры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2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Итоговое занятие.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57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Итого часов: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</w:p>
        </w:tc>
      </w:tr>
    </w:tbl>
    <w:p w:rsidR="00CD5AB1" w:rsidRPr="00CD5AB1" w:rsidRDefault="00CD5AB1" w:rsidP="00CD5AB1">
      <w:pPr>
        <w:shd w:val="clear" w:color="auto" w:fill="FFFFFF"/>
        <w:spacing w:after="0" w:line="273" w:lineRule="atLeast"/>
        <w:ind w:righ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73" w:lineRule="atLeast"/>
        <w:ind w:right="34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73" w:lineRule="atLeast"/>
        <w:ind w:right="34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Учебно-тематический план</w:t>
      </w:r>
    </w:p>
    <w:tbl>
      <w:tblPr>
        <w:tblW w:w="9782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427"/>
        <w:gridCol w:w="1430"/>
        <w:gridCol w:w="974"/>
        <w:gridCol w:w="1319"/>
      </w:tblGrid>
      <w:tr w:rsidR="00CD5AB1" w:rsidRPr="00CD5AB1" w:rsidTr="00CD5AB1">
        <w:trPr>
          <w:trHeight w:val="405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4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том числе</w:t>
            </w:r>
          </w:p>
        </w:tc>
      </w:tr>
      <w:tr w:rsidR="00CD5AB1" w:rsidRPr="00CD5AB1" w:rsidTr="00CD5AB1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Практика</w:t>
            </w:r>
          </w:p>
        </w:tc>
      </w:tr>
      <w:tr w:rsidR="00CD5AB1" w:rsidRPr="00CD5AB1" w:rsidTr="00CD5AB1">
        <w:trPr>
          <w:trHeight w:val="443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I.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Вводное занятие. Правила безопасного поведения во время проведения объединения по интересам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6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II.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Общие положения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6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Развитие физической культуры и спорта в стране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9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III.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Правила соревнований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D5AB1" w:rsidRPr="00CD5AB1" w:rsidTr="00CD5AB1">
        <w:trPr>
          <w:trHeight w:val="29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Правила игры в русские шашки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IV.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Основы шашечной теории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Общие вопросы шашечной теории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 центральных полей доски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Связывание шашек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 размена и понятие о темпе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Элементарные ловушки в начале партии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Потеря уже одной шашки ведёт к проигрышу.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 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Принципы стеснения (ограничения) действий противника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 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Позиционное преимущество - важнейший путь к достижению победы.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 1</w:t>
            </w:r>
          </w:p>
        </w:tc>
      </w:tr>
      <w:tr w:rsidR="00CD5AB1" w:rsidRPr="00CD5AB1" w:rsidTr="00CD5AB1">
        <w:trPr>
          <w:trHeight w:val="2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V.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Тактика и техника шашечной игры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CD5AB1" w:rsidRPr="00CD5AB1" w:rsidTr="00CD5AB1">
        <w:trPr>
          <w:trHeight w:val="2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Разнообразие тактических приёмов в игре.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Различные способы выигрыша шашки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Важностьумения</w:t>
            </w:r>
            <w:proofErr w:type="spellEnd"/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пользоваться умениями тактическими приёмами в игре.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3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Расчёт ходов в партии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CD5AB1" w:rsidRPr="00CD5AB1" w:rsidTr="00CD5AB1">
        <w:trPr>
          <w:trHeight w:val="2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Техника проведения тактических приёмов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 техники игры в окончании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Анализ и разбор различных способов выигрыша шашки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VI.</w:t>
            </w:r>
          </w:p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Важнейшие данные об игре в окончаниях. Атака и защита.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Технически трудные окончания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Дамка и две простые против дамки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 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Три дамки против дамки и простой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Важность знания правил оппозиции, разбор примеров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Три дамки против одной в окончаниях. Треугольник Петрова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Борьба одной шашки против двух и более шашек.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Характерные ничейные позиции в борьбе одной шашки против двух.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8.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Борьба простых. Две шашки против двух.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Типичные позиции из борьбы трёх шашек против четырёх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Четыре шашки против четырёх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Совместная борьба дамок и простых, находящихся на </w:t>
            </w:r>
            <w:proofErr w:type="spellStart"/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одномфланге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Борьба дамки против двух и трёх простых.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Совместная борьба дамок и простых против дамки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Дамка и простая против простых.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Совместная борьба дамки против дамки с простыми шашками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VII.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Начальные сведения об игре в международные шашки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Знакомство с шашечной доской. Наименование диагоналей доски.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Ходы шашек. Первый ход. Момент совершения хода.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Различные виды выигрыша и проигрыша.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Различные виды ничьей.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VIII.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Шашечная композиция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Окончания, как понимать шашечную концовку.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Практическая ценность изучения шашечных концовок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0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Связь концовки с практической игрой.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405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Анализ и разбор концовок на различные темы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405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Дамка против дамки и двух простых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0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Одна дамка против трёх, четырех дамок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0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Ничейные позиции. Две дамки против одной дамки и простой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0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Выигрыш. Три дамки против одной.  (Треугольник Петрова)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0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Этюдное творчество. Важность знания этюдных приёмов борьбы для практической игры.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0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Связь этюда с шашечной партией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Борьба простых в этюдах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Разбор примеров, характеризующих этюдную борьбу простых.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Этюды с дамками.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14.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Борьба дамок с простыми – против простых в этюдах.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Разбор примеров с этюдными окончаниями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Практическое применение этюдов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IX.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Практическая игра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14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X.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Квалификационные турниры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XI.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Итоговые занятия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CD5AB1" w:rsidRPr="00CD5AB1" w:rsidTr="00CD5AB1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Итого часов: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5AB1" w:rsidRPr="00CD5AB1" w:rsidRDefault="00CD5AB1" w:rsidP="00CD5AB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A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</w:p>
        </w:tc>
      </w:tr>
    </w:tbl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Теоретические сведения: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 Шахматная доска. Поля, линии, их обозначение. Легенда о возникновении шашек. Понятие о шашечном турнире. Правила поведения при игре в шашечных турнирах. Правила поведения в соревнованиях. Спортивная квалификация.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Практические умения: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выполнение ходов пешками. Дидактические игры по маршруту и их взятие с учетом контроля полей, на ограничение подвижности фигур. Тренировочные упражнения по закреплению знаний о шахматной доске. Упражнения на выполнение ходов дамкой. 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Шахматная доска и фигуры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 шашек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Шахматная доска. Поля, линии, их обозначение. Легенда о возникновении шашек.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Ходы и взятие фигур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 на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 результат шашечной партии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Способы защиты. Открытые и двойные ходы. Обучение алгоритму хода. Выигрыш, ничья, виды ничьей.  Решение упражнений на выигрыш в различное количество ходов.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принципы разыгрывание партии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хода «дамки»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</w:t>
      </w:r>
      <w:proofErr w:type="gram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 на</w:t>
      </w:r>
      <w:proofErr w:type="gram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 ходов  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Тактические приемы и особенности их применения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Шашечный турнир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Показательные выступления опытных спортсменов. Презентация успехов юных шашистов с приглашением родителей учащихся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«уголки»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«поддавки»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CD5AB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года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Показательные выступления опытных спортсменов. Презентация успехов юных шашистов с приглашением родителей учащихся</w:t>
      </w:r>
    </w:p>
    <w:p w:rsidR="00CD5AB1" w:rsidRPr="00CD5AB1" w:rsidRDefault="00CD5AB1" w:rsidP="00CD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Учебно-методическое – обеспечение: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опорные схемы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набор шашек и шашечных досок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Устьянов С.Ю. «Увлекательная тактика»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Цирик З.И. «Лабиринты шашечной игры»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Ожидаемый результат обучения: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шашечных терминов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и выполнение правил шашечной игры;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ориентироваться на шахматной доске;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 расставлять шашки фигуры перед игрой;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перемещать фигуры по горизонтали, вертикали, диагонали;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решать элементарные задачи на взятие и защиту фигур;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преодолевать волнение перед игрой и соревнованиями;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общаться и договариваться со сверстниками;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ряда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фантазию.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01A2B" w:rsidRDefault="00401A2B" w:rsidP="005B520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01A2B" w:rsidRDefault="00401A2B" w:rsidP="005B520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учащихся ?</w:t>
      </w:r>
    </w:p>
    <w:p w:rsidR="00401A2B" w:rsidRDefault="00401A2B" w:rsidP="005B520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5AB1" w:rsidRPr="00CD5AB1" w:rsidRDefault="00CD5AB1" w:rsidP="005B520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 используемой</w:t>
      </w:r>
      <w:proofErr w:type="gramEnd"/>
      <w:r w:rsidRPr="00CD5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литературы для детей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Пожарский В.А. Шахматный учебник / </w:t>
      </w:r>
      <w:proofErr w:type="spell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В.А.Пожарский</w:t>
      </w:r>
      <w:proofErr w:type="spell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М.,1996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Тимофеев А.А. </w:t>
      </w:r>
      <w:proofErr w:type="spell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связи шашек как учебного предмета в начальной школе // Шахматный всеобуч – 1996 - №3</w:t>
      </w:r>
    </w:p>
    <w:p w:rsidR="00CD5AB1" w:rsidRPr="00CD5AB1" w:rsidRDefault="00CD5AB1" w:rsidP="00CD5A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                       Тимофеев А.А Общие подходы к </w:t>
      </w:r>
      <w:proofErr w:type="spellStart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концепсии</w:t>
      </w:r>
      <w:proofErr w:type="spellEnd"/>
      <w:r w:rsidRPr="00CD5A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«Шашки как учебный предмет» в начальной школе// Начальное образование. – 2006. - №4</w:t>
      </w:r>
    </w:p>
    <w:p w:rsidR="00CD5AB1" w:rsidRDefault="00CD5AB1"/>
    <w:sectPr w:rsidR="00CD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29"/>
    <w:rsid w:val="00287905"/>
    <w:rsid w:val="00401A2B"/>
    <w:rsid w:val="005B520E"/>
    <w:rsid w:val="0062046A"/>
    <w:rsid w:val="006E581A"/>
    <w:rsid w:val="00962457"/>
    <w:rsid w:val="00C27429"/>
    <w:rsid w:val="00C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5832"/>
  <w15:chartTrackingRefBased/>
  <w15:docId w15:val="{FE7333A2-A6EA-4C5B-AF50-BB313CA5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62457"/>
    <w:pPr>
      <w:keepNext/>
      <w:keepLines/>
      <w:spacing w:after="376"/>
      <w:ind w:left="3653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457"/>
    <w:rPr>
      <w:rFonts w:ascii="Times New Roman" w:eastAsia="Times New Roman" w:hAnsi="Times New Roman" w:cs="Times New Roman"/>
      <w:color w:val="000000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2306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2024-06-16T13:27:00Z</dcterms:created>
  <dcterms:modified xsi:type="dcterms:W3CDTF">2024-06-17T08:19:00Z</dcterms:modified>
</cp:coreProperties>
</file>